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F87" w:rsidRPr="00EB64E5" w:rsidRDefault="006B3964" w:rsidP="004C38F4">
      <w:pPr>
        <w:pStyle w:val="Default"/>
        <w:spacing w:after="100" w:afterAutospacing="1"/>
        <w:jc w:val="center"/>
        <w:rPr>
          <w:b/>
          <w:bCs/>
          <w:sz w:val="22"/>
          <w:szCs w:val="22"/>
          <w:u w:val="single"/>
        </w:rPr>
      </w:pPr>
      <w:r w:rsidRPr="00EB64E5">
        <w:rPr>
          <w:b/>
          <w:bCs/>
          <w:sz w:val="22"/>
          <w:szCs w:val="22"/>
          <w:u w:val="single"/>
        </w:rPr>
        <w:t>OKUL/KURUM BİNA VE EKLENTİLERİNİN İSG MEVZUATINA UYGUN HALE GETİRİLMESİ</w:t>
      </w:r>
      <w:r w:rsidR="004C38F4" w:rsidRPr="00EB64E5">
        <w:rPr>
          <w:b/>
          <w:bCs/>
          <w:sz w:val="22"/>
          <w:szCs w:val="22"/>
          <w:u w:val="single"/>
        </w:rPr>
        <w:t xml:space="preserve"> </w:t>
      </w:r>
    </w:p>
    <w:p w:rsidR="002538BA" w:rsidRPr="004C38F4" w:rsidRDefault="002538BA" w:rsidP="002538BA">
      <w:pPr>
        <w:pStyle w:val="Default"/>
        <w:spacing w:after="100" w:afterAutospacing="1"/>
        <w:rPr>
          <w:sz w:val="22"/>
          <w:szCs w:val="22"/>
        </w:rPr>
      </w:pPr>
      <w:r>
        <w:rPr>
          <w:b/>
          <w:bCs/>
          <w:sz w:val="22"/>
          <w:szCs w:val="22"/>
        </w:rPr>
        <w:t>1.Acil Yapılması Gerekenler</w:t>
      </w:r>
    </w:p>
    <w:p w:rsidR="006E4F87" w:rsidRPr="004C38F4" w:rsidRDefault="006E4F87" w:rsidP="006E4F87">
      <w:pPr>
        <w:spacing w:after="0" w:line="240" w:lineRule="auto"/>
        <w:rPr>
          <w:rFonts w:ascii="Times New Roman" w:hAnsi="Times New Roman" w:cs="Times New Roman"/>
        </w:rPr>
      </w:pPr>
      <w:r w:rsidRPr="004C38F4">
        <w:rPr>
          <w:rFonts w:ascii="Times New Roman" w:hAnsi="Times New Roman" w:cs="Times New Roman"/>
        </w:rPr>
        <w:t>1. Risk Değerlendirmesi Yapılması</w:t>
      </w:r>
    </w:p>
    <w:p w:rsidR="006E4F87" w:rsidRPr="004C38F4" w:rsidRDefault="006E4F87" w:rsidP="006E4F87">
      <w:pPr>
        <w:spacing w:after="0" w:line="240" w:lineRule="auto"/>
        <w:rPr>
          <w:rFonts w:ascii="Times New Roman" w:hAnsi="Times New Roman" w:cs="Times New Roman"/>
        </w:rPr>
      </w:pPr>
      <w:r w:rsidRPr="004C38F4">
        <w:rPr>
          <w:rFonts w:ascii="Times New Roman" w:hAnsi="Times New Roman" w:cs="Times New Roman"/>
        </w:rPr>
        <w:t>2. Acil Eylem Planının Hazırlanması</w:t>
      </w:r>
    </w:p>
    <w:p w:rsidR="006E4F87" w:rsidRPr="004C38F4" w:rsidRDefault="002538BA" w:rsidP="006E4F87">
      <w:pPr>
        <w:spacing w:after="0" w:line="240" w:lineRule="auto"/>
        <w:rPr>
          <w:rFonts w:ascii="Times New Roman" w:hAnsi="Times New Roman" w:cs="Times New Roman"/>
        </w:rPr>
      </w:pPr>
      <w:r>
        <w:rPr>
          <w:rFonts w:ascii="Times New Roman" w:hAnsi="Times New Roman" w:cs="Times New Roman"/>
        </w:rPr>
        <w:t>3</w:t>
      </w:r>
      <w:r w:rsidR="006E4F87" w:rsidRPr="004C38F4">
        <w:rPr>
          <w:rFonts w:ascii="Times New Roman" w:hAnsi="Times New Roman" w:cs="Times New Roman"/>
        </w:rPr>
        <w:t>. Çalışan Temsilcilerinin Tespit edilmesi</w:t>
      </w:r>
    </w:p>
    <w:p w:rsidR="006E4F87" w:rsidRPr="004C38F4" w:rsidRDefault="002538BA" w:rsidP="006E4F87">
      <w:pPr>
        <w:spacing w:after="0" w:line="240" w:lineRule="auto"/>
        <w:rPr>
          <w:rFonts w:ascii="Times New Roman" w:hAnsi="Times New Roman" w:cs="Times New Roman"/>
        </w:rPr>
      </w:pPr>
      <w:r>
        <w:rPr>
          <w:rFonts w:ascii="Times New Roman" w:hAnsi="Times New Roman" w:cs="Times New Roman"/>
        </w:rPr>
        <w:t>4</w:t>
      </w:r>
      <w:r w:rsidR="006E4F87" w:rsidRPr="004C38F4">
        <w:rPr>
          <w:rFonts w:ascii="Times New Roman" w:hAnsi="Times New Roman" w:cs="Times New Roman"/>
        </w:rPr>
        <w:t>. Tüm çalışanların Eğitimlerinin Verilmesi</w:t>
      </w:r>
    </w:p>
    <w:p w:rsidR="006E4F87" w:rsidRPr="004C38F4" w:rsidRDefault="002538BA" w:rsidP="006E4F87">
      <w:pPr>
        <w:spacing w:after="0" w:line="240" w:lineRule="auto"/>
        <w:rPr>
          <w:rFonts w:ascii="Times New Roman" w:hAnsi="Times New Roman" w:cs="Times New Roman"/>
        </w:rPr>
      </w:pPr>
      <w:r>
        <w:rPr>
          <w:rFonts w:ascii="Times New Roman" w:hAnsi="Times New Roman" w:cs="Times New Roman"/>
        </w:rPr>
        <w:t>5</w:t>
      </w:r>
      <w:r w:rsidR="006E4F87" w:rsidRPr="004C38F4">
        <w:rPr>
          <w:rFonts w:ascii="Times New Roman" w:hAnsi="Times New Roman" w:cs="Times New Roman"/>
        </w:rPr>
        <w:t xml:space="preserve">. Tehlikeli ve Çok Tehlikeli İşyerleri Çalışanlarına Mesleki </w:t>
      </w:r>
      <w:r w:rsidR="00F62474">
        <w:rPr>
          <w:rFonts w:ascii="Times New Roman" w:hAnsi="Times New Roman" w:cs="Times New Roman"/>
        </w:rPr>
        <w:t>E</w:t>
      </w:r>
      <w:r w:rsidR="006E4F87" w:rsidRPr="004C38F4">
        <w:rPr>
          <w:rFonts w:ascii="Times New Roman" w:hAnsi="Times New Roman" w:cs="Times New Roman"/>
        </w:rPr>
        <w:t>ğitim Verilmesi</w:t>
      </w:r>
    </w:p>
    <w:p w:rsidR="006E4F87" w:rsidRPr="004C38F4" w:rsidRDefault="002538BA" w:rsidP="006E4F87">
      <w:pPr>
        <w:spacing w:after="0" w:line="240" w:lineRule="auto"/>
        <w:rPr>
          <w:rFonts w:ascii="Times New Roman" w:hAnsi="Times New Roman" w:cs="Times New Roman"/>
        </w:rPr>
      </w:pPr>
      <w:r>
        <w:rPr>
          <w:rFonts w:ascii="Times New Roman" w:hAnsi="Times New Roman" w:cs="Times New Roman"/>
        </w:rPr>
        <w:t>6.</w:t>
      </w:r>
      <w:r w:rsidR="006E4F87" w:rsidRPr="004C38F4">
        <w:rPr>
          <w:rFonts w:ascii="Times New Roman" w:hAnsi="Times New Roman" w:cs="Times New Roman"/>
        </w:rPr>
        <w:t xml:space="preserve"> Ortam Ölçümleri, Analiz ve Tetkiklerin Yaptırılması</w:t>
      </w:r>
    </w:p>
    <w:p w:rsidR="006E4F87" w:rsidRPr="004C38F4" w:rsidRDefault="002538BA" w:rsidP="006E4F87">
      <w:pPr>
        <w:spacing w:after="0" w:line="240" w:lineRule="auto"/>
        <w:rPr>
          <w:rFonts w:ascii="Times New Roman" w:hAnsi="Times New Roman" w:cs="Times New Roman"/>
        </w:rPr>
      </w:pPr>
      <w:r>
        <w:rPr>
          <w:rFonts w:ascii="Times New Roman" w:hAnsi="Times New Roman" w:cs="Times New Roman"/>
        </w:rPr>
        <w:t>7.</w:t>
      </w:r>
      <w:r w:rsidR="006E4F87" w:rsidRPr="004C38F4">
        <w:rPr>
          <w:rFonts w:ascii="Times New Roman" w:hAnsi="Times New Roman" w:cs="Times New Roman"/>
        </w:rPr>
        <w:t xml:space="preserve"> Çalışanlara İlkyardım </w:t>
      </w:r>
      <w:r>
        <w:rPr>
          <w:rFonts w:ascii="Times New Roman" w:hAnsi="Times New Roman" w:cs="Times New Roman"/>
        </w:rPr>
        <w:t>v</w:t>
      </w:r>
      <w:r w:rsidR="006E4F87" w:rsidRPr="004C38F4">
        <w:rPr>
          <w:rFonts w:ascii="Times New Roman" w:hAnsi="Times New Roman" w:cs="Times New Roman"/>
        </w:rPr>
        <w:t>e Yangın Eğitimi Yaptırılması</w:t>
      </w:r>
    </w:p>
    <w:p w:rsidR="006E4F87" w:rsidRPr="004C38F4" w:rsidRDefault="002538BA" w:rsidP="006E4F87">
      <w:pPr>
        <w:spacing w:after="0" w:line="240" w:lineRule="auto"/>
        <w:rPr>
          <w:rFonts w:ascii="Times New Roman" w:hAnsi="Times New Roman" w:cs="Times New Roman"/>
        </w:rPr>
      </w:pPr>
      <w:r>
        <w:rPr>
          <w:rFonts w:ascii="Times New Roman" w:hAnsi="Times New Roman" w:cs="Times New Roman"/>
        </w:rPr>
        <w:t>8</w:t>
      </w:r>
      <w:r w:rsidR="006E4F87" w:rsidRPr="004C38F4">
        <w:rPr>
          <w:rFonts w:ascii="Times New Roman" w:hAnsi="Times New Roman" w:cs="Times New Roman"/>
        </w:rPr>
        <w:t xml:space="preserve">. İşaret Yönlendirme Tabela ve Basılı Dokümantasyonun </w:t>
      </w:r>
      <w:r w:rsidR="00F62474">
        <w:rPr>
          <w:rFonts w:ascii="Times New Roman" w:hAnsi="Times New Roman" w:cs="Times New Roman"/>
        </w:rPr>
        <w:t>S</w:t>
      </w:r>
      <w:r w:rsidR="006E4F87" w:rsidRPr="004C38F4">
        <w:rPr>
          <w:rFonts w:ascii="Times New Roman" w:hAnsi="Times New Roman" w:cs="Times New Roman"/>
        </w:rPr>
        <w:t>ağlanması</w:t>
      </w:r>
    </w:p>
    <w:p w:rsidR="006E4F87" w:rsidRPr="004C38F4" w:rsidRDefault="002538BA" w:rsidP="006E4F87">
      <w:pPr>
        <w:spacing w:after="0" w:line="240" w:lineRule="auto"/>
        <w:rPr>
          <w:rFonts w:ascii="Times New Roman" w:hAnsi="Times New Roman" w:cs="Times New Roman"/>
        </w:rPr>
      </w:pPr>
      <w:r>
        <w:rPr>
          <w:rFonts w:ascii="Times New Roman" w:hAnsi="Times New Roman" w:cs="Times New Roman"/>
        </w:rPr>
        <w:t>9</w:t>
      </w:r>
      <w:r w:rsidR="006E4F87" w:rsidRPr="004C38F4">
        <w:rPr>
          <w:rFonts w:ascii="Times New Roman" w:hAnsi="Times New Roman" w:cs="Times New Roman"/>
        </w:rPr>
        <w:t>. Kazan, Basınçlı Kaplar, Paratoner, Topraklama, Elektrik Tesisatı, Elektrikli aletler ve jeneratörler vb. araç ve makinelerin kontrol ve bakımlarının yapılması.</w:t>
      </w:r>
    </w:p>
    <w:p w:rsidR="006E4F87" w:rsidRPr="004C38F4" w:rsidRDefault="006E4F87" w:rsidP="006B3964">
      <w:pPr>
        <w:pStyle w:val="Default"/>
        <w:jc w:val="both"/>
        <w:rPr>
          <w:b/>
          <w:bCs/>
          <w:sz w:val="22"/>
          <w:szCs w:val="22"/>
        </w:rPr>
      </w:pPr>
    </w:p>
    <w:p w:rsidR="006B3964" w:rsidRPr="004C38F4" w:rsidRDefault="002538BA" w:rsidP="006B3964">
      <w:pPr>
        <w:pStyle w:val="Default"/>
        <w:jc w:val="both"/>
        <w:rPr>
          <w:sz w:val="22"/>
          <w:szCs w:val="22"/>
        </w:rPr>
      </w:pPr>
      <w:r>
        <w:rPr>
          <w:b/>
          <w:bCs/>
          <w:sz w:val="22"/>
          <w:szCs w:val="22"/>
        </w:rPr>
        <w:t>2.</w:t>
      </w:r>
      <w:r w:rsidR="006B3964" w:rsidRPr="004C38F4">
        <w:rPr>
          <w:b/>
          <w:bCs/>
          <w:sz w:val="22"/>
          <w:szCs w:val="22"/>
        </w:rPr>
        <w:t xml:space="preserve">Okul/Kurum Fiziki Yapısı </w:t>
      </w:r>
    </w:p>
    <w:p w:rsidR="006B3964" w:rsidRPr="004C38F4" w:rsidRDefault="006B3964" w:rsidP="006B3964">
      <w:pPr>
        <w:pStyle w:val="Default"/>
        <w:jc w:val="both"/>
        <w:rPr>
          <w:sz w:val="22"/>
          <w:szCs w:val="22"/>
        </w:rPr>
      </w:pPr>
      <w:r w:rsidRPr="004C38F4">
        <w:rPr>
          <w:b/>
          <w:sz w:val="22"/>
          <w:szCs w:val="22"/>
        </w:rPr>
        <w:t>A-</w:t>
      </w:r>
      <w:r w:rsidRPr="004C38F4">
        <w:rPr>
          <w:sz w:val="22"/>
          <w:szCs w:val="22"/>
        </w:rPr>
        <w:t xml:space="preserve"> Risk Değerlendirmesi Sonucu; İşyeri bina ve eklentilerinde alınacak sağlık ve güvenlik önlemlerine ilişkin yönetmelik doğrultusunda, iş güvenliği uzmanları ve okul/kurum İSG kurulunun yönlendirmesi doğrultusunda kademeli bir biçimde, yakın ve ciddi bir tehlike olması durumunda can emniyeti bakımından hemen ele alınması, zaman içinde çözülmesi gereken sorunların planlı bir biçimde yürütülmesi, tehlikenin kaynağında yok edilmesi gerekmektedir.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B-</w:t>
      </w:r>
      <w:r w:rsidRPr="004C38F4">
        <w:rPr>
          <w:sz w:val="22"/>
          <w:szCs w:val="22"/>
        </w:rPr>
        <w:t xml:space="preserve"> Okul/Kurum fiziki yapısının güvenli olması için yapılacak iyileştirmelerin; Öncelikle risk derecesine göre ele alınması, iyileştirmeler için gerekli olan ekonomik kaynakların okul/kurum bütçeleri, okul-aile birliği ve diğer kaynaklardan karşılanır.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proofErr w:type="gramStart"/>
      <w:r w:rsidRPr="004C38F4">
        <w:rPr>
          <w:b/>
          <w:sz w:val="22"/>
          <w:szCs w:val="22"/>
        </w:rPr>
        <w:t>C-</w:t>
      </w:r>
      <w:r w:rsidRPr="004C38F4">
        <w:rPr>
          <w:sz w:val="22"/>
          <w:szCs w:val="22"/>
        </w:rPr>
        <w:t xml:space="preserve"> Okul/Kurumların; İhata duvarı üzerine çekilecek demir parmaklık ve tel örgülerin, personel ve araç giriş kapılarının tehlike yaratmayacak şekilde düzenlenmesi, çevre aydınlatmasının yeterli düzeyde ışık sağlanarak yapılması ve kamera sistemi ile donatılması, bahçe ve bahçe içerisinde tehlike oluşturacak tüm engellerin giderilmesi, çevre düzeninin tehlike ve risklerden arındırılması, tehlikelerden uzak uygun yerlere acil toplanma alanlarının belirlenmesi. </w:t>
      </w:r>
      <w:proofErr w:type="gramEnd"/>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D-</w:t>
      </w:r>
      <w:r w:rsidRPr="004C38F4">
        <w:rPr>
          <w:sz w:val="22"/>
          <w:szCs w:val="22"/>
        </w:rPr>
        <w:t xml:space="preserve"> Okul/Kurum giriş merdivenlerinin korkuluklarının yapılması, standart kaymaz şerit çekilmesi, düşme tehlikesi bulunan merdiven boşluklarına güvenlik ağı çekilmesi, bütün kapıların dışarıya doğru açılması, engelli giriş rampalarının standartlara uygun yapılması.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proofErr w:type="gramStart"/>
      <w:r w:rsidRPr="004C38F4">
        <w:rPr>
          <w:b/>
          <w:sz w:val="22"/>
          <w:szCs w:val="22"/>
        </w:rPr>
        <w:t>E-</w:t>
      </w:r>
      <w:r w:rsidRPr="004C38F4">
        <w:rPr>
          <w:sz w:val="22"/>
          <w:szCs w:val="22"/>
        </w:rPr>
        <w:t xml:space="preserve"> Elektrik panolarının yetkisiz kişilerce açılmasını önleyici tedbirlerin alınması, elektrik panolarının kapakları üzerine standart tehlike işaretlerinin konulması, elektrik panosu önlerinin yalıtımlı malzeme ile kaplanması, bütün panolara standartlara uygun kaçak akım rölelerinin konulması, sigorta sistemlerinin otomatik olması, çıplak kablo ve aksesuarlarını kapatılması, kabloların kapalı kanal içerisinden geçirilmesi, kablo kesitlerinin enerji nakline uygun olması, elektrik topraklama tesisatının standartlara uygun ve ihtiyacı karşılayacak şekilde yapılması. </w:t>
      </w:r>
      <w:proofErr w:type="gramEnd"/>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F-</w:t>
      </w:r>
      <w:r w:rsidRPr="004C38F4">
        <w:rPr>
          <w:sz w:val="22"/>
          <w:szCs w:val="22"/>
        </w:rPr>
        <w:t xml:space="preserve"> Yangın dolapları sisteminin TS EN671-</w:t>
      </w:r>
      <w:proofErr w:type="gramStart"/>
      <w:r w:rsidRPr="004C38F4">
        <w:rPr>
          <w:sz w:val="22"/>
          <w:szCs w:val="22"/>
        </w:rPr>
        <w:t>1/2/3</w:t>
      </w:r>
      <w:proofErr w:type="gramEnd"/>
      <w:r w:rsidRPr="004C38F4">
        <w:rPr>
          <w:sz w:val="22"/>
          <w:szCs w:val="22"/>
        </w:rPr>
        <w:t xml:space="preserve"> standartlarına uygun hale getirilmesi, yangın söndürme cihazlarının kolay ulaşılabilecek uygun yerlere zeminden asma halkasına 90 cm geçmeyecek şekilde monte edilmesi, yangın ihbar ve uyarı sistemlerinin çalışır halde bulundurulması.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G-</w:t>
      </w:r>
      <w:r w:rsidRPr="004C38F4">
        <w:rPr>
          <w:sz w:val="22"/>
          <w:szCs w:val="22"/>
        </w:rPr>
        <w:t xml:space="preserve"> Katlarda koridor başlarına tahliye detay uygulama planlarının konulması, acil çıkış yollarının açık bulunması, standart ışıklandırılmış yön levhalarının konulması, acil çıkış kapılarının toplanma alanlarına doğrudan açılması ve çıkış engelinin bulunmaması, kilit altına alınmaması.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H-</w:t>
      </w:r>
      <w:r w:rsidRPr="004C38F4">
        <w:rPr>
          <w:sz w:val="22"/>
          <w:szCs w:val="22"/>
        </w:rPr>
        <w:t xml:space="preserve"> Okul kapılarının dışa doğru açılması, anaokulu, kreş ve gündüz bakımevi ile ilkokul ve ortaokullarda bütün kapı kollarının öğrencilerin yüzüne gelmeyecek şekilde düzenlenmesi, Mesleki Teknik Anadolu Liselerinin muhtelif yerlerdeki kapılardan sürgülü sanayi tipi metal kapıların koruyucu askılıklarla desteklenmesi, fotoselli ve cam kapılara standart tehlike şeritlerinin konularak çarpmaların engellenmesi.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İ-</w:t>
      </w:r>
      <w:r w:rsidRPr="004C38F4">
        <w:rPr>
          <w:sz w:val="22"/>
          <w:szCs w:val="22"/>
        </w:rPr>
        <w:t xml:space="preserve"> Pencerelerin düşmeyi önleyecek şekilde standartlara uygun hale getirilmesi, öğrenci boy seviyelerinin üzerinde havalandırılması, tüm oda ve sınıf içerisindeki kaymaya, devrilmeye, düşmeye karşı tüm malzemelerin sabitlenmesi.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J-</w:t>
      </w:r>
      <w:r w:rsidRPr="004C38F4">
        <w:rPr>
          <w:sz w:val="22"/>
          <w:szCs w:val="22"/>
        </w:rPr>
        <w:t xml:space="preserve"> Okul ve kurumlarda lavabo taşlarının alttan zemine öğrencilerin boylarına uygun şekilde sabitlenmesi, aynaların düşmeyecek şekilde monte edilmesi, muslukların standartlara uygun halde öğrencilerin güvenli bir şekilde kullanımının sağlanması, zeminde kaymayı önleyecek tedbirlerin alınması ve ‘kaygan zemin’ uyarı işaretlerinin konulması, standart </w:t>
      </w:r>
      <w:proofErr w:type="gramStart"/>
      <w:r w:rsidRPr="004C38F4">
        <w:rPr>
          <w:sz w:val="22"/>
          <w:szCs w:val="22"/>
        </w:rPr>
        <w:t>hijyen</w:t>
      </w:r>
      <w:proofErr w:type="gramEnd"/>
      <w:r w:rsidRPr="004C38F4">
        <w:rPr>
          <w:sz w:val="22"/>
          <w:szCs w:val="22"/>
        </w:rPr>
        <w:t xml:space="preserve"> sağlayıcı temizlik malzemelerinin sürekli kullanıma hazır halde bulundurulması, kullanılmayan temizlik malzeme ve ekipmanlarının tuvaletlerde bulundurulmaması, tuvalet temizliklerinin günlük temizlik çizelgesine işlenerek talimatlara uygun bir şekilde yapılması ve kontrol edilmesi, tuvalet ve lavabolarda su kaçaklarını dikkate alarak elektrik tesisatlarının izole edilmesi ve çıplak kablolara öğrencilerin erişiminin engellenmesi, ıslak elle dokunulan alanların elektrik ve biyolojik tehlikelerden arındırılması, havalandırma sistemlerinin standartlara uygun hale getirilmesi.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K-</w:t>
      </w:r>
      <w:r w:rsidRPr="004C38F4">
        <w:rPr>
          <w:sz w:val="22"/>
          <w:szCs w:val="22"/>
        </w:rPr>
        <w:t xml:space="preserve"> Okul çatılarının tehlike oluşturabilecek yanıcı, parlayıcı, patlayıcı malzemelerden arındırılması, çatıların depo olarak kullanılmaması, elektrik tesisatının çekilmemesi, kuş gübrelerinden temizlenmesi, çatı aralarında oluşturulan asansör motor dairelerinin ayrı bir bölüm içerisine alınması, çatı sac ve kiremitlerinin </w:t>
      </w:r>
      <w:proofErr w:type="gramStart"/>
      <w:r w:rsidRPr="004C38F4">
        <w:rPr>
          <w:sz w:val="22"/>
          <w:szCs w:val="22"/>
        </w:rPr>
        <w:t>rüzgar</w:t>
      </w:r>
      <w:proofErr w:type="gramEnd"/>
      <w:r w:rsidRPr="004C38F4">
        <w:rPr>
          <w:sz w:val="22"/>
          <w:szCs w:val="22"/>
        </w:rPr>
        <w:t xml:space="preserve">, fırtına gibi doğal olaylardan etkilenmeyecek şekilde sağlamlaştırılması ve aralıklı kontrollerin yapılması, kış aylarında oluşan buz ve sarkıtların temizlenmesi, baca yangınları ve gaz sızıntılarına karşı gerekli kontrol ve önlemlerin alınması, çatı kapak ve kapılarının kilit altında tutulması,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L-</w:t>
      </w:r>
      <w:r w:rsidRPr="004C38F4">
        <w:rPr>
          <w:sz w:val="22"/>
          <w:szCs w:val="22"/>
        </w:rPr>
        <w:t xml:space="preserve"> Standartlara uygun paratoner tesisatının periyodik kontrol ve ölçümlerin yetkilileri tarafından yapılarak raporlarının düzenlenmesi.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M-</w:t>
      </w:r>
      <w:r w:rsidRPr="004C38F4">
        <w:rPr>
          <w:sz w:val="22"/>
          <w:szCs w:val="22"/>
        </w:rPr>
        <w:t xml:space="preserve"> Öğretmenevi, pansiyon ve yurtlarda barınanların sayısına ve fiziki kapasitesine uygun acil çıkış yollarının mevzuata uygun şekilde tanzim edilmesi, acil çıkış yön levhalarının standartlara uygun olması, termal konfor şartlarını sağlanması, özellikle uyuma alanlarının amacı dışında kullanılmaması, yangın ihbar ve uyarı sistemleri ile yangın dolaplarının standartlara uygun çalışır halde bulundurulması, duşa kabinli </w:t>
      </w:r>
      <w:proofErr w:type="gramStart"/>
      <w:r w:rsidRPr="004C38F4">
        <w:rPr>
          <w:sz w:val="22"/>
          <w:szCs w:val="22"/>
        </w:rPr>
        <w:t>hijyen</w:t>
      </w:r>
      <w:proofErr w:type="gramEnd"/>
      <w:r w:rsidRPr="004C38F4">
        <w:rPr>
          <w:sz w:val="22"/>
          <w:szCs w:val="22"/>
        </w:rPr>
        <w:t xml:space="preserve"> koşullarına uygun banyo sistemlerinin sağlanması, çamaşırhanelerde kullanılan makinelerin standartlara uygun hale getirilmesi ve kullanılan elektrikli makine ve aletlerin mevzuata uygun halde kullanılması, öğrencilerin ve misafirlerin giriş ve çıkışlarının kayıt altına alınması, genel alanlarda kamera kayıt sisteminin kurulması, genel havalandırma sistemlerinin çalışır halde bulunması,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N-</w:t>
      </w:r>
      <w:r w:rsidRPr="004C38F4">
        <w:rPr>
          <w:sz w:val="22"/>
          <w:szCs w:val="22"/>
        </w:rPr>
        <w:t xml:space="preserve"> Kantinlerde kullanılan </w:t>
      </w:r>
      <w:proofErr w:type="spellStart"/>
      <w:r w:rsidRPr="004C38F4">
        <w:rPr>
          <w:sz w:val="22"/>
          <w:szCs w:val="22"/>
        </w:rPr>
        <w:t>lpg</w:t>
      </w:r>
      <w:proofErr w:type="spellEnd"/>
      <w:r w:rsidRPr="004C38F4">
        <w:rPr>
          <w:sz w:val="22"/>
          <w:szCs w:val="22"/>
        </w:rPr>
        <w:t xml:space="preserve"> tüplerinin bina dışında hava sirkülâsyonu sağlanacak şekilde düzenlenecek korunaklı yapı içerisine alınarak ocak ve tüp bağlantılarının bakır boru ile tesisatının çekilmesi, gaz algılama detektörlerinin konulması, havalandırma sistemlerinin çalışır halde bulundurulması, çalışan personelin </w:t>
      </w:r>
      <w:proofErr w:type="gramStart"/>
      <w:r w:rsidRPr="004C38F4">
        <w:rPr>
          <w:sz w:val="22"/>
          <w:szCs w:val="22"/>
        </w:rPr>
        <w:t>hijyen</w:t>
      </w:r>
      <w:proofErr w:type="gramEnd"/>
      <w:r w:rsidRPr="004C38F4">
        <w:rPr>
          <w:sz w:val="22"/>
          <w:szCs w:val="22"/>
        </w:rPr>
        <w:t xml:space="preserve"> eğitimi alması, savcılıktan sabıka kaydına ilişkin belgenin alınması, en az bir adet 6 kg </w:t>
      </w:r>
      <w:proofErr w:type="spellStart"/>
      <w:r w:rsidRPr="004C38F4">
        <w:rPr>
          <w:sz w:val="22"/>
          <w:szCs w:val="22"/>
        </w:rPr>
        <w:t>lık</w:t>
      </w:r>
      <w:proofErr w:type="spellEnd"/>
      <w:r w:rsidRPr="004C38F4">
        <w:rPr>
          <w:sz w:val="22"/>
          <w:szCs w:val="22"/>
        </w:rPr>
        <w:t xml:space="preserve"> kuru kimyevi tozlu yangın söndürme cihazının bulundurulması, </w:t>
      </w:r>
    </w:p>
    <w:p w:rsidR="006B3964" w:rsidRPr="004C38F4" w:rsidRDefault="006B3964" w:rsidP="006B3964">
      <w:pPr>
        <w:pStyle w:val="Default"/>
        <w:jc w:val="both"/>
        <w:rPr>
          <w:sz w:val="22"/>
          <w:szCs w:val="22"/>
        </w:rPr>
      </w:pPr>
    </w:p>
    <w:p w:rsidR="006B3964" w:rsidRPr="004C38F4" w:rsidRDefault="006B3964" w:rsidP="006B3964">
      <w:pPr>
        <w:pStyle w:val="Default"/>
        <w:jc w:val="both"/>
        <w:rPr>
          <w:sz w:val="22"/>
          <w:szCs w:val="22"/>
        </w:rPr>
      </w:pPr>
      <w:r w:rsidRPr="004C38F4">
        <w:rPr>
          <w:b/>
          <w:sz w:val="22"/>
          <w:szCs w:val="22"/>
        </w:rPr>
        <w:t>O-</w:t>
      </w:r>
      <w:r w:rsidRPr="004C38F4">
        <w:rPr>
          <w:sz w:val="22"/>
          <w:szCs w:val="22"/>
        </w:rPr>
        <w:t xml:space="preserve"> Mutfak ve yemekhanelerde kullanılan </w:t>
      </w:r>
      <w:proofErr w:type="spellStart"/>
      <w:r w:rsidRPr="004C38F4">
        <w:rPr>
          <w:sz w:val="22"/>
          <w:szCs w:val="22"/>
        </w:rPr>
        <w:t>lpg</w:t>
      </w:r>
      <w:proofErr w:type="spellEnd"/>
      <w:r w:rsidRPr="004C38F4">
        <w:rPr>
          <w:sz w:val="22"/>
          <w:szCs w:val="22"/>
        </w:rPr>
        <w:t xml:space="preserve"> tüplerinin bina dışında hava sirkülâsyonu sağlanacak şekilde düzenlenecek korunaklı yapı içerisine alınarak ocak ve tüp bağlantılarının bakır boru ile tesisatının çekilmesi, gaz algılama detektörlerinin konulması, havalandırma sistemlerinin çalışır halde bulundurulması, çalışan personelin </w:t>
      </w:r>
      <w:proofErr w:type="gramStart"/>
      <w:r w:rsidRPr="004C38F4">
        <w:rPr>
          <w:sz w:val="22"/>
          <w:szCs w:val="22"/>
        </w:rPr>
        <w:t>hijyen</w:t>
      </w:r>
      <w:proofErr w:type="gramEnd"/>
      <w:r w:rsidRPr="004C38F4">
        <w:rPr>
          <w:sz w:val="22"/>
          <w:szCs w:val="22"/>
        </w:rPr>
        <w:t xml:space="preserve"> eğitimi alması ve hijyen kurallarına uygun davranması ile gerekli hijyen donanımlarının kullandırılması, doğalgaz ve </w:t>
      </w:r>
      <w:proofErr w:type="spellStart"/>
      <w:r w:rsidRPr="004C38F4">
        <w:rPr>
          <w:sz w:val="22"/>
          <w:szCs w:val="22"/>
        </w:rPr>
        <w:t>lpg</w:t>
      </w:r>
      <w:proofErr w:type="spellEnd"/>
      <w:r w:rsidRPr="004C38F4">
        <w:rPr>
          <w:sz w:val="22"/>
          <w:szCs w:val="22"/>
        </w:rPr>
        <w:t xml:space="preserve"> tüplü mutfaklarda ocak girişlerinde kolay ulaşılabilecek yerlerde açma-kapama vanası yapılarak işaretlenmesi, her türlü gıda maddelerinin saklanması için ayrılmış alanlarda gerekli sağlık, temizlik ve hijyen tedbirlerinin alınması, gıdaların son kullanma tarihlerine uygun olarak bulundurulması, gıdaların uygun saklama koşullarına uygun bulundurulması, yemek numunelerinin mevzuat doğrultusunda uygun şekilde saklanması, mutfak ve yemekhanelerde Gıda Tarım ve Hayvancılık İl Müdürlükleri tarafından Gıda üretim şartlarına uygun olduğuna dair müsaade ve izinlerin alınması, gıda üretilen alanların bulaşıkhane ve diğer temizlik alanlarından fiziki olarak ayrılması, yemek pişirilen alanlara ilgililer dışında girişlerin engellenmesi, yemekhanede kullanılan bütün ekipmanların günlük temizliklerinin yapılarak periyodik bakımlarının yapılması, talimatlar doğrultusunda çalıştırılması, kaygan zeminler için gerekli önlemlerin alınması ve uyarıcı işaretlerin konulması, ocak davlumbazı üzerine otomatik yangın söndürme sisteminin kurulması, hijyen donatımlı ilkyardım dolaplarının bulundurulması, fırın ve ızgara bacalarının periyodik temizliklerinin yapılarak kayıt altına alınması, en az iki adet 6 kg </w:t>
      </w:r>
      <w:proofErr w:type="spellStart"/>
      <w:r w:rsidRPr="004C38F4">
        <w:rPr>
          <w:sz w:val="22"/>
          <w:szCs w:val="22"/>
        </w:rPr>
        <w:t>lık</w:t>
      </w:r>
      <w:proofErr w:type="spellEnd"/>
      <w:r w:rsidRPr="004C38F4">
        <w:rPr>
          <w:sz w:val="22"/>
          <w:szCs w:val="22"/>
        </w:rPr>
        <w:t xml:space="preserve"> kuru kimyevi tozlu yangın söndürme cihazının bulundurulması, gaz detektörünün konularak otomatik gaz kesme tesisatının kurulması, personel özel çalışma talimatı ve görev talimatlarının hazırlanması, elektrik panoları ve tesisatlarının standartlara uygun olarak kullanılması, metal gövdeli makinelerin gövde topraklamalarının genel topraklama ile birlikte yapılması. </w:t>
      </w:r>
    </w:p>
    <w:p w:rsidR="006B3964" w:rsidRPr="004C38F4" w:rsidRDefault="006B3964" w:rsidP="006B3964">
      <w:pPr>
        <w:pStyle w:val="Default"/>
        <w:jc w:val="both"/>
        <w:rPr>
          <w:b/>
          <w:sz w:val="22"/>
          <w:szCs w:val="22"/>
        </w:rPr>
      </w:pPr>
    </w:p>
    <w:p w:rsidR="00334B3B" w:rsidRPr="004C38F4" w:rsidRDefault="006B3964" w:rsidP="004C38F4">
      <w:pPr>
        <w:pStyle w:val="Default"/>
        <w:jc w:val="both"/>
        <w:rPr>
          <w:sz w:val="22"/>
          <w:szCs w:val="22"/>
        </w:rPr>
      </w:pPr>
      <w:r w:rsidRPr="004C38F4">
        <w:rPr>
          <w:b/>
          <w:sz w:val="22"/>
          <w:szCs w:val="22"/>
        </w:rPr>
        <w:t>P-</w:t>
      </w:r>
      <w:r w:rsidRPr="004C38F4">
        <w:rPr>
          <w:sz w:val="22"/>
          <w:szCs w:val="22"/>
        </w:rPr>
        <w:t xml:space="preserve"> Kazan dairelerinde binaların yangından korunma yönetmeliği ile MEB yangın önleme ve söndürme yönergesindeki esaslar doğrultusunda gerekli tedbir ve önlemlerin alınması sağlanacaktır. </w:t>
      </w:r>
    </w:p>
    <w:sectPr w:rsidR="00334B3B" w:rsidRPr="004C38F4" w:rsidSect="004C38F4">
      <w:pgSz w:w="11906" w:h="17338"/>
      <w:pgMar w:top="1134" w:right="902" w:bottom="1021" w:left="1185" w:header="709" w:footer="709"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3964"/>
    <w:rsid w:val="002538BA"/>
    <w:rsid w:val="00334B3B"/>
    <w:rsid w:val="0038511A"/>
    <w:rsid w:val="00481467"/>
    <w:rsid w:val="004C38F4"/>
    <w:rsid w:val="006B3964"/>
    <w:rsid w:val="006E4F87"/>
    <w:rsid w:val="009E50C2"/>
    <w:rsid w:val="00A57DE4"/>
    <w:rsid w:val="00B956ED"/>
    <w:rsid w:val="00EB64E5"/>
    <w:rsid w:val="00F6247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F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6B396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1365</Words>
  <Characters>7786</Characters>
  <Application>Microsoft Office Word</Application>
  <DocSecurity>0</DocSecurity>
  <Lines>64</Lines>
  <Paragraphs>18</Paragraphs>
  <ScaleCrop>false</ScaleCrop>
  <Company/>
  <LinksUpToDate>false</LinksUpToDate>
  <CharactersWithSpaces>9133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MEB</dc:creator>
  <cp:lastModifiedBy>MEB</cp:lastModifiedBy>
  <cp:revision>6</cp:revision>
  <cp:lastPrinted>2015-10-06T09:18:00Z</cp:lastPrinted>
  <dcterms:created xsi:type="dcterms:W3CDTF">2015-10-05T06:45:00Z</dcterms:created>
  <dcterms:modified xsi:type="dcterms:W3CDTF">2015-10-06T09:18:00Z</dcterms:modified>
</cp:coreProperties>
</file>